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5E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Hírlevél</w:t>
      </w:r>
    </w:p>
    <w:p w:rsidR="00B465C6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MTA Szénhidrát, Nukleinsav és Antibiotikum</w:t>
      </w:r>
      <w:r w:rsidR="002D06C7" w:rsidRPr="004A4C3C">
        <w:rPr>
          <w:rFonts w:ascii="Times New Roman" w:hAnsi="Times New Roman" w:cs="Times New Roman"/>
          <w:b/>
        </w:rPr>
        <w:t>kémiai</w:t>
      </w:r>
      <w:r w:rsidRPr="004A4C3C">
        <w:rPr>
          <w:rFonts w:ascii="Times New Roman" w:hAnsi="Times New Roman" w:cs="Times New Roman"/>
          <w:b/>
        </w:rPr>
        <w:t xml:space="preserve"> Munkabizottság</w:t>
      </w:r>
    </w:p>
    <w:p w:rsidR="00B465C6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201</w:t>
      </w:r>
      <w:r w:rsidR="00794A8E">
        <w:rPr>
          <w:rFonts w:ascii="Times New Roman" w:hAnsi="Times New Roman" w:cs="Times New Roman"/>
          <w:b/>
        </w:rPr>
        <w:t>7</w:t>
      </w:r>
      <w:r w:rsidR="00D25A95">
        <w:rPr>
          <w:rFonts w:ascii="Times New Roman" w:hAnsi="Times New Roman" w:cs="Times New Roman"/>
          <w:b/>
        </w:rPr>
        <w:t xml:space="preserve">. </w:t>
      </w:r>
      <w:r w:rsidR="00DB5B0E">
        <w:rPr>
          <w:rFonts w:ascii="Times New Roman" w:hAnsi="Times New Roman" w:cs="Times New Roman"/>
          <w:b/>
        </w:rPr>
        <w:t>szeptember</w:t>
      </w:r>
    </w:p>
    <w:p w:rsidR="00B465C6" w:rsidRDefault="00B465C6" w:rsidP="00B465C6">
      <w:pPr>
        <w:jc w:val="both"/>
        <w:rPr>
          <w:rFonts w:ascii="Times New Roman" w:hAnsi="Times New Roman" w:cs="Times New Roman"/>
          <w:b/>
        </w:rPr>
      </w:pPr>
    </w:p>
    <w:p w:rsidR="005A400C" w:rsidRDefault="00D01150" w:rsidP="009C6B6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0115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) </w:t>
      </w:r>
      <w:r w:rsidR="00794A8E" w:rsidRPr="00D01150">
        <w:rPr>
          <w:rFonts w:ascii="Times New Roman" w:hAnsi="Times New Roman" w:cs="Times New Roman"/>
        </w:rPr>
        <w:t>A 2017. évi munkabizottsági ülés</w:t>
      </w:r>
      <w:r w:rsidR="009C6B65">
        <w:rPr>
          <w:rFonts w:ascii="Times New Roman" w:hAnsi="Times New Roman" w:cs="Times New Roman"/>
        </w:rPr>
        <w:t>ről készült fényképek megtekinthetők a honlapon.</w:t>
      </w:r>
    </w:p>
    <w:p w:rsidR="005A400C" w:rsidRDefault="005A400C" w:rsidP="00D01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alábbi linken elérhető: </w:t>
      </w:r>
    </w:p>
    <w:p w:rsidR="00653C4E" w:rsidRDefault="002B6898" w:rsidP="00D01150">
      <w:pPr>
        <w:jc w:val="both"/>
        <w:rPr>
          <w:rFonts w:ascii="Times New Roman" w:hAnsi="Times New Roman" w:cs="Times New Roman"/>
        </w:rPr>
      </w:pPr>
      <w:hyperlink r:id="rId8" w:history="1">
        <w:r w:rsidR="00653C4E" w:rsidRPr="00352846">
          <w:rPr>
            <w:rStyle w:val="Hiperhivatkozs"/>
            <w:rFonts w:ascii="Times New Roman" w:hAnsi="Times New Roman" w:cs="Times New Roman"/>
          </w:rPr>
          <w:t>http://mta-szenhidrat-nukleinsav-es-antibiotikumkemiai-mu.mozello.hu/</w:t>
        </w:r>
      </w:hyperlink>
    </w:p>
    <w:p w:rsidR="0056298B" w:rsidRDefault="0056298B" w:rsidP="00D01150">
      <w:pPr>
        <w:jc w:val="both"/>
        <w:rPr>
          <w:rFonts w:ascii="Times New Roman" w:hAnsi="Times New Roman" w:cs="Times New Roman"/>
        </w:rPr>
      </w:pPr>
    </w:p>
    <w:p w:rsidR="0056298B" w:rsidRDefault="0056298B" w:rsidP="00D01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 Örömünkre szolgál bejelenteni a 2018. évi munkabizottsági ülés</w:t>
      </w:r>
      <w:r w:rsidR="00AA2CE2">
        <w:rPr>
          <w:rFonts w:ascii="Times New Roman" w:hAnsi="Times New Roman" w:cs="Times New Roman"/>
        </w:rPr>
        <w:t xml:space="preserve"> (előreláthatóan május végén)</w:t>
      </w:r>
      <w:r>
        <w:rPr>
          <w:rFonts w:ascii="Times New Roman" w:hAnsi="Times New Roman" w:cs="Times New Roman"/>
        </w:rPr>
        <w:t xml:space="preserve"> meghívott előadóit:</w:t>
      </w:r>
    </w:p>
    <w:p w:rsidR="0056298B" w:rsidRDefault="0056298B" w:rsidP="00D01150">
      <w:pPr>
        <w:jc w:val="both"/>
        <w:rPr>
          <w:rFonts w:ascii="Times New Roman" w:hAnsi="Times New Roman" w:cs="Times New Roman"/>
        </w:rPr>
      </w:pPr>
      <w:r w:rsidRPr="0056298B">
        <w:rPr>
          <w:rFonts w:ascii="Times New Roman" w:hAnsi="Times New Roman" w:cs="Times New Roman"/>
        </w:rPr>
        <w:t>Ji</w:t>
      </w:r>
      <w:r>
        <w:rPr>
          <w:rFonts w:ascii="Times New Roman" w:hAnsi="Times New Roman" w:cs="Times New Roman"/>
        </w:rPr>
        <w:t xml:space="preserve">tka Moravcova (Prága, VSCHT) </w:t>
      </w:r>
    </w:p>
    <w:p w:rsidR="0056298B" w:rsidRDefault="002B6898" w:rsidP="00D01150">
      <w:pPr>
        <w:jc w:val="both"/>
        <w:rPr>
          <w:rFonts w:ascii="Times New Roman" w:hAnsi="Times New Roman" w:cs="Times New Roman"/>
        </w:rPr>
      </w:pPr>
      <w:hyperlink r:id="rId9" w:history="1">
        <w:r w:rsidR="0056298B" w:rsidRPr="00764DEB">
          <w:rPr>
            <w:rStyle w:val="Hiperhivatkozs"/>
            <w:rFonts w:ascii="Times New Roman" w:hAnsi="Times New Roman" w:cs="Times New Roman"/>
          </w:rPr>
          <w:t>http://uchpl.vscht.cz/contact/staff/JitkaMoravcova</w:t>
        </w:r>
      </w:hyperlink>
    </w:p>
    <w:p w:rsidR="0056298B" w:rsidRDefault="0056298B" w:rsidP="00D01150">
      <w:pPr>
        <w:jc w:val="both"/>
        <w:rPr>
          <w:rFonts w:ascii="Times New Roman" w:hAnsi="Times New Roman" w:cs="Times New Roman"/>
        </w:rPr>
      </w:pPr>
    </w:p>
    <w:p w:rsidR="0056298B" w:rsidRDefault="0056298B" w:rsidP="00D01150">
      <w:pPr>
        <w:jc w:val="both"/>
        <w:rPr>
          <w:rFonts w:ascii="Times New Roman" w:hAnsi="Times New Roman" w:cs="Times New Roman"/>
        </w:rPr>
      </w:pPr>
      <w:r w:rsidRPr="0056298B">
        <w:rPr>
          <w:rFonts w:ascii="Times New Roman" w:hAnsi="Times New Roman" w:cs="Times New Roman"/>
        </w:rPr>
        <w:t>Carlo Unverzagt (Universität Bayreuth)</w:t>
      </w:r>
    </w:p>
    <w:p w:rsidR="00AA2CE2" w:rsidRDefault="002B6898" w:rsidP="00D01150">
      <w:pPr>
        <w:jc w:val="both"/>
        <w:rPr>
          <w:rStyle w:val="Hiperhivatkozs"/>
          <w:rFonts w:ascii="Times New Roman" w:hAnsi="Times New Roman" w:cs="Times New Roman"/>
        </w:rPr>
      </w:pPr>
      <w:hyperlink r:id="rId10" w:history="1">
        <w:r w:rsidR="0056298B" w:rsidRPr="00764DEB">
          <w:rPr>
            <w:rStyle w:val="Hiperhivatkozs"/>
            <w:rFonts w:ascii="Times New Roman" w:hAnsi="Times New Roman" w:cs="Times New Roman"/>
          </w:rPr>
          <w:t>http://www.boc.uni-bayreuth.de/en/index.html</w:t>
        </w:r>
      </w:hyperlink>
    </w:p>
    <w:p w:rsidR="00AA2CE2" w:rsidRPr="00AA2CE2" w:rsidRDefault="00AA2CE2" w:rsidP="00D01150">
      <w:pPr>
        <w:jc w:val="both"/>
        <w:rPr>
          <w:rFonts w:ascii="Times New Roman" w:hAnsi="Times New Roman" w:cs="Times New Roman"/>
          <w:color w:val="0563C1" w:themeColor="hyperlink"/>
          <w:u w:val="single"/>
        </w:rPr>
      </w:pPr>
    </w:p>
    <w:p w:rsidR="0056298B" w:rsidRDefault="0056298B" w:rsidP="00D01150">
      <w:pPr>
        <w:jc w:val="both"/>
        <w:rPr>
          <w:rFonts w:ascii="Times New Roman" w:hAnsi="Times New Roman" w:cs="Times New Roman"/>
        </w:rPr>
      </w:pPr>
    </w:p>
    <w:p w:rsidR="00794A8E" w:rsidRDefault="00AE6A3F" w:rsidP="00D01150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01150">
        <w:rPr>
          <w:rFonts w:ascii="Times New Roman" w:hAnsi="Times New Roman" w:cs="Times New Roman"/>
        </w:rPr>
        <w:t xml:space="preserve">.) </w:t>
      </w:r>
      <w:r w:rsidR="00174765">
        <w:rPr>
          <w:rFonts w:ascii="Times New Roman" w:hAnsi="Times New Roman" w:cs="Times New Roman"/>
        </w:rPr>
        <w:t>A</w:t>
      </w:r>
      <w:r w:rsidR="00794A8E">
        <w:rPr>
          <w:rFonts w:ascii="Times New Roman" w:hAnsi="Times New Roman" w:cs="Times New Roman"/>
        </w:rPr>
        <w:t xml:space="preserve"> Munkabizottsá</w:t>
      </w:r>
      <w:r w:rsidR="00174765">
        <w:rPr>
          <w:rFonts w:ascii="Times New Roman" w:hAnsi="Times New Roman" w:cs="Times New Roman"/>
        </w:rPr>
        <w:t>g tagjainak eredményei</w:t>
      </w:r>
      <w:r w:rsidR="00794A8E">
        <w:rPr>
          <w:rFonts w:ascii="Times New Roman" w:hAnsi="Times New Roman" w:cs="Times New Roman"/>
        </w:rPr>
        <w:t>, megjelent közlemények kivonatai</w:t>
      </w:r>
      <w:r w:rsidR="00A830FC">
        <w:rPr>
          <w:rFonts w:ascii="Times New Roman" w:hAnsi="Times New Roman" w:cs="Times New Roman"/>
        </w:rPr>
        <w:t xml:space="preserve"> (a teljesség igénye nélkül)</w:t>
      </w:r>
      <w:r w:rsidR="00174765">
        <w:rPr>
          <w:rFonts w:ascii="Times New Roman" w:hAnsi="Times New Roman" w:cs="Times New Roman"/>
        </w:rPr>
        <w:t>:</w:t>
      </w:r>
    </w:p>
    <w:p w:rsidR="009C6B65" w:rsidRDefault="009C6B65" w:rsidP="009C6B65">
      <w:pPr>
        <w:shd w:val="clear" w:color="auto" w:fill="FFFFFF"/>
        <w:spacing w:after="10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Hydrogen-Bonding Network Anchors the Cyclic Form of Sugar Arylhydrazones</w:t>
      </w:r>
    </w:p>
    <w:p w:rsidR="009C6B65" w:rsidRDefault="009C6B65" w:rsidP="009C6B65">
      <w:pPr>
        <w:pStyle w:val="Authors"/>
        <w:rPr>
          <w:rFonts w:ascii="Times New Roman" w:hAnsi="Times New Roman"/>
        </w:rPr>
      </w:pPr>
      <w:r>
        <w:rPr>
          <w:rFonts w:ascii="Times New Roman" w:hAnsi="Times New Roman"/>
        </w:rPr>
        <w:t>Viktória Goldschmidt Gőz, István Pintér,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Antal Csámpai, Imre Jákli, Virág Zsoldos-Mády and András Perczel</w:t>
      </w:r>
    </w:p>
    <w:p w:rsidR="009C6B65" w:rsidRDefault="009C6B65" w:rsidP="009C6B65">
      <w:pPr>
        <w:pStyle w:val="Authors"/>
        <w:rPr>
          <w:rFonts w:ascii="Times New Roman" w:hAnsi="Times New Roman"/>
          <w:szCs w:val="22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90170</wp:posOffset>
            </wp:positionV>
            <wp:extent cx="1943100" cy="1800225"/>
            <wp:effectExtent l="0" t="0" r="0" b="9525"/>
            <wp:wrapSquare wrapText="bothSides"/>
            <wp:docPr id="1" name="Kép 1" descr="abstrac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bstract_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" t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Cs w:val="22"/>
        </w:rPr>
        <w:t xml:space="preserve">Eur. J. Org. Chem. 2016, 20, 3419-3426. DOI: </w:t>
      </w:r>
      <w:r>
        <w:rPr>
          <w:rFonts w:ascii="Times New Roman" w:hAnsi="Times New Roman"/>
          <w:color w:val="333333"/>
          <w:szCs w:val="22"/>
          <w:shd w:val="clear" w:color="auto" w:fill="FFFFFF"/>
        </w:rPr>
        <w:t>10.1002/ejoc.201600462</w:t>
      </w:r>
    </w:p>
    <w:p w:rsidR="009C6B65" w:rsidRDefault="009C6B65" w:rsidP="009C6B65">
      <w:pPr>
        <w:jc w:val="both"/>
      </w:pPr>
      <w:r>
        <w:rPr>
          <w:rFonts w:ascii="Times New Roman" w:hAnsi="Times New Roman"/>
          <w:lang w:val="en-US"/>
        </w:rPr>
        <w:t xml:space="preserve">The “classical” challenge, raised by </w:t>
      </w:r>
      <w:r>
        <w:rPr>
          <w:rFonts w:ascii="Times New Roman" w:hAnsi="Times New Roman"/>
          <w:i/>
          <w:lang w:val="en-US"/>
        </w:rPr>
        <w:t xml:space="preserve">Emil Fischer </w:t>
      </w:r>
      <w:r>
        <w:rPr>
          <w:rFonts w:ascii="Times New Roman" w:hAnsi="Times New Roman"/>
          <w:lang w:val="en-US"/>
        </w:rPr>
        <w:t xml:space="preserve">on why a monosaccharide arylhydrazone adopts a cyclic-, but other an acyclic structure is answered here. The present comprehensive analysis on hexose and hexosamine arylhydrazones, based on 2D-NMR and theoretical modeling, has established that a chain of H-bonds needed for conformational selection can only be completed for </w:t>
      </w:r>
      <w:r>
        <w:rPr>
          <w:rFonts w:ascii="Times New Roman" w:hAnsi="Times New Roman"/>
          <w:smallCaps/>
          <w:lang w:val="en-US"/>
        </w:rPr>
        <w:t>d</w:t>
      </w:r>
      <w:r>
        <w:rPr>
          <w:rFonts w:ascii="Times New Roman" w:hAnsi="Times New Roman"/>
          <w:lang w:val="en-US"/>
        </w:rPr>
        <w:t xml:space="preserve">-glucosamine derivatives. Thus, </w:t>
      </w:r>
      <w:r>
        <w:rPr>
          <w:rFonts w:ascii="Times New Roman" w:hAnsi="Times New Roman"/>
          <w:smallCaps/>
          <w:lang w:val="en-US"/>
        </w:rPr>
        <w:t>d</w:t>
      </w:r>
      <w:r>
        <w:rPr>
          <w:rFonts w:ascii="Times New Roman" w:hAnsi="Times New Roman"/>
          <w:lang w:val="en-US"/>
        </w:rPr>
        <w:t xml:space="preserve">-glucosamine 4-nitrophenylhydrazone adopts exclusively its cyclic form, but any configurational changes imply the appearance of acyclic structures. In conclusion three </w:t>
      </w:r>
      <w:r>
        <w:rPr>
          <w:rFonts w:ascii="Times New Roman" w:eastAsia="Times New Roman" w:hAnsi="Times New Roman"/>
          <w:color w:val="000000" w:themeColor="text1"/>
          <w:lang w:val="en-US" w:eastAsia="hu-HU"/>
        </w:rPr>
        <w:t xml:space="preserve">criteria dominate structure selection, namely </w:t>
      </w:r>
      <w:r>
        <w:rPr>
          <w:rFonts w:ascii="Times New Roman" w:eastAsia="Times New Roman" w:hAnsi="Times New Roman"/>
          <w:i/>
          <w:color w:val="000000" w:themeColor="text1"/>
          <w:lang w:val="en-US" w:eastAsia="hu-HU"/>
        </w:rPr>
        <w:t>i</w:t>
      </w:r>
      <w:r>
        <w:rPr>
          <w:rFonts w:ascii="Times New Roman" w:eastAsia="Times New Roman" w:hAnsi="Times New Roman"/>
          <w:color w:val="000000" w:themeColor="text1"/>
          <w:lang w:val="en-US" w:eastAsia="hu-HU"/>
        </w:rPr>
        <w:t xml:space="preserve">) the amino function at C-2 position, </w:t>
      </w:r>
      <w:r>
        <w:rPr>
          <w:rFonts w:ascii="Times New Roman" w:eastAsia="Times New Roman" w:hAnsi="Times New Roman"/>
          <w:i/>
          <w:color w:val="000000" w:themeColor="text1"/>
          <w:lang w:val="en-US" w:eastAsia="hu-HU"/>
        </w:rPr>
        <w:t xml:space="preserve">ii) </w:t>
      </w:r>
      <w:r>
        <w:rPr>
          <w:rFonts w:ascii="Times New Roman" w:eastAsia="Times New Roman" w:hAnsi="Times New Roman"/>
          <w:color w:val="000000" w:themeColor="text1"/>
          <w:lang w:val="en-US" w:eastAsia="hu-HU"/>
        </w:rPr>
        <w:t xml:space="preserve">the “all-equatorial” substitution mode of the pyranoid ring and </w:t>
      </w:r>
      <w:r>
        <w:rPr>
          <w:rFonts w:ascii="Times New Roman" w:eastAsia="Times New Roman" w:hAnsi="Times New Roman"/>
          <w:i/>
          <w:color w:val="000000" w:themeColor="text1"/>
          <w:lang w:val="en-US" w:eastAsia="hu-HU"/>
        </w:rPr>
        <w:t>iii)</w:t>
      </w:r>
      <w:r>
        <w:rPr>
          <w:rFonts w:ascii="Times New Roman" w:eastAsia="Times New Roman" w:hAnsi="Times New Roman"/>
          <w:color w:val="000000" w:themeColor="text1"/>
          <w:lang w:val="en-US" w:eastAsia="hu-HU"/>
        </w:rPr>
        <w:t xml:space="preserve"> an electron withdrawing group of </w:t>
      </w:r>
      <w:r>
        <w:rPr>
          <w:rFonts w:ascii="Times New Roman" w:hAnsi="Times New Roman"/>
          <w:color w:val="000000" w:themeColor="text1"/>
          <w:lang w:val="en-US"/>
        </w:rPr>
        <w:t xml:space="preserve">arylhydrazone </w:t>
      </w:r>
      <w:r>
        <w:rPr>
          <w:rFonts w:ascii="Times New Roman" w:eastAsia="Times New Roman" w:hAnsi="Times New Roman"/>
          <w:color w:val="000000" w:themeColor="text1"/>
          <w:lang w:val="en-US" w:eastAsia="hu-HU"/>
        </w:rPr>
        <w:t>are all needed to get the cyclic form only.</w:t>
      </w:r>
    </w:p>
    <w:p w:rsidR="00D25A95" w:rsidRDefault="00D25A95" w:rsidP="00D25A95">
      <w:pPr>
        <w:pStyle w:val="para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015B8C">
        <w:rPr>
          <w:sz w:val="22"/>
          <w:szCs w:val="22"/>
        </w:rPr>
        <w:t xml:space="preserve">.) </w:t>
      </w:r>
      <w:r w:rsidR="00015B8C">
        <w:rPr>
          <w:b/>
          <w:sz w:val="22"/>
          <w:szCs w:val="22"/>
        </w:rPr>
        <w:t>Programajánló</w:t>
      </w:r>
    </w:p>
    <w:p w:rsidR="0056298B" w:rsidRPr="0056298B" w:rsidRDefault="0056298B" w:rsidP="0056298B">
      <w:pPr>
        <w:pStyle w:val="para"/>
        <w:jc w:val="both"/>
        <w:rPr>
          <w:sz w:val="22"/>
          <w:szCs w:val="22"/>
        </w:rPr>
      </w:pPr>
      <w:r w:rsidRPr="0056298B">
        <w:rPr>
          <w:sz w:val="22"/>
          <w:szCs w:val="22"/>
        </w:rPr>
        <w:t>Bruckner termi előadás” sorozatának következő előadói ülése</w:t>
      </w:r>
    </w:p>
    <w:p w:rsidR="0056298B" w:rsidRPr="0056298B" w:rsidRDefault="0056298B" w:rsidP="0056298B">
      <w:pPr>
        <w:pStyle w:val="para"/>
        <w:jc w:val="both"/>
        <w:rPr>
          <w:sz w:val="22"/>
          <w:szCs w:val="22"/>
        </w:rPr>
      </w:pPr>
      <w:r w:rsidRPr="0056298B">
        <w:rPr>
          <w:sz w:val="22"/>
          <w:szCs w:val="22"/>
        </w:rPr>
        <w:lastRenderedPageBreak/>
        <w:t>Időpont: 2017. szeptember 29. (péntek), délután 2 óra.</w:t>
      </w:r>
    </w:p>
    <w:p w:rsidR="0056298B" w:rsidRPr="0056298B" w:rsidRDefault="0056298B" w:rsidP="0056298B">
      <w:pPr>
        <w:pStyle w:val="para"/>
        <w:jc w:val="both"/>
        <w:rPr>
          <w:sz w:val="22"/>
          <w:szCs w:val="22"/>
        </w:rPr>
      </w:pPr>
      <w:r w:rsidRPr="0056298B">
        <w:rPr>
          <w:sz w:val="22"/>
          <w:szCs w:val="22"/>
        </w:rPr>
        <w:t>Helyszín: ELTE TTK Kémiai Épület (1117 Budapest, Pázmány Péter sétány 1/A.) 0.63-as előadóterem („Bruckner-terem”)</w:t>
      </w:r>
    </w:p>
    <w:p w:rsidR="0056298B" w:rsidRPr="0056298B" w:rsidRDefault="0056298B" w:rsidP="0056298B">
      <w:pPr>
        <w:pStyle w:val="para"/>
        <w:jc w:val="both"/>
        <w:rPr>
          <w:b/>
          <w:sz w:val="22"/>
          <w:szCs w:val="22"/>
        </w:rPr>
      </w:pPr>
      <w:r w:rsidRPr="0056298B">
        <w:rPr>
          <w:b/>
          <w:sz w:val="22"/>
          <w:szCs w:val="22"/>
        </w:rPr>
        <w:t>Program:</w:t>
      </w:r>
    </w:p>
    <w:p w:rsidR="0056298B" w:rsidRPr="0056298B" w:rsidRDefault="0056298B" w:rsidP="0056298B">
      <w:pPr>
        <w:pStyle w:val="para"/>
        <w:jc w:val="both"/>
        <w:rPr>
          <w:sz w:val="22"/>
          <w:szCs w:val="22"/>
        </w:rPr>
      </w:pPr>
      <w:r w:rsidRPr="0056298B">
        <w:rPr>
          <w:sz w:val="22"/>
          <w:szCs w:val="22"/>
        </w:rPr>
        <w:t>1. Keserű György Miklós (MTA TTK Gyógyszerkémiai Kutatócsoport):</w:t>
      </w:r>
    </w:p>
    <w:p w:rsidR="0056298B" w:rsidRPr="0056298B" w:rsidRDefault="0056298B" w:rsidP="0056298B">
      <w:pPr>
        <w:pStyle w:val="para"/>
        <w:jc w:val="both"/>
        <w:rPr>
          <w:sz w:val="22"/>
          <w:szCs w:val="22"/>
        </w:rPr>
      </w:pPr>
      <w:r w:rsidRPr="0056298B">
        <w:rPr>
          <w:sz w:val="22"/>
          <w:szCs w:val="22"/>
        </w:rPr>
        <w:t>Reakciók fehérjékkel: kovalens inhibitorok a gyógyszerkémiában</w:t>
      </w:r>
    </w:p>
    <w:p w:rsidR="0056298B" w:rsidRPr="0056298B" w:rsidRDefault="0056298B" w:rsidP="0056298B">
      <w:pPr>
        <w:pStyle w:val="para"/>
        <w:jc w:val="both"/>
        <w:rPr>
          <w:sz w:val="22"/>
          <w:szCs w:val="22"/>
        </w:rPr>
      </w:pPr>
      <w:r w:rsidRPr="0056298B">
        <w:rPr>
          <w:sz w:val="22"/>
          <w:szCs w:val="22"/>
        </w:rPr>
        <w:t>2. Kormos Attila (MTA TTK Kémiai Biológia Kutatócsoport):</w:t>
      </w:r>
    </w:p>
    <w:p w:rsidR="0056298B" w:rsidRDefault="0056298B" w:rsidP="0056298B">
      <w:pPr>
        <w:pStyle w:val="para"/>
        <w:jc w:val="both"/>
        <w:rPr>
          <w:sz w:val="22"/>
          <w:szCs w:val="22"/>
        </w:rPr>
      </w:pPr>
      <w:r w:rsidRPr="0056298B">
        <w:rPr>
          <w:sz w:val="22"/>
          <w:szCs w:val="22"/>
        </w:rPr>
        <w:t>Kétpontos kötődésre alkalmas fluorogé</w:t>
      </w:r>
      <w:r>
        <w:rPr>
          <w:sz w:val="22"/>
          <w:szCs w:val="22"/>
        </w:rPr>
        <w:t>n cianin festékek szintézise és alkalmazása</w:t>
      </w:r>
    </w:p>
    <w:p w:rsidR="0056298B" w:rsidRDefault="0056298B" w:rsidP="0056298B">
      <w:pPr>
        <w:pStyle w:val="para"/>
        <w:jc w:val="both"/>
        <w:rPr>
          <w:sz w:val="22"/>
          <w:szCs w:val="22"/>
        </w:rPr>
      </w:pPr>
      <w:r>
        <w:rPr>
          <w:sz w:val="22"/>
          <w:szCs w:val="22"/>
        </w:rPr>
        <w:t>5.) Korábbi levelemben kérte</w:t>
      </w:r>
      <w:r w:rsidR="006016A7">
        <w:rPr>
          <w:sz w:val="22"/>
          <w:szCs w:val="22"/>
        </w:rPr>
        <w:t>m a tagok</w:t>
      </w:r>
      <w:r>
        <w:rPr>
          <w:sz w:val="22"/>
          <w:szCs w:val="22"/>
        </w:rPr>
        <w:t xml:space="preserve"> elmúlt öt év pályázati tevékenységének</w:t>
      </w:r>
      <w:r w:rsidR="006016A7">
        <w:rPr>
          <w:sz w:val="22"/>
          <w:szCs w:val="22"/>
        </w:rPr>
        <w:t xml:space="preserve"> (díjak, pályázatok, elismerések, stb.) összefoglalását. Aki elküldte annak, köszönöm, aki még nem, és szeretné, hogy a készülő adatbázisba bekerüljön, kérem, tegye meg. </w:t>
      </w:r>
    </w:p>
    <w:p w:rsidR="00AA2CE2" w:rsidRPr="0056298B" w:rsidRDefault="00AA2CE2" w:rsidP="0056298B">
      <w:pPr>
        <w:pStyle w:val="para"/>
        <w:jc w:val="both"/>
        <w:rPr>
          <w:sz w:val="22"/>
          <w:szCs w:val="22"/>
        </w:rPr>
      </w:pPr>
      <w:r>
        <w:rPr>
          <w:sz w:val="22"/>
          <w:szCs w:val="22"/>
        </w:rPr>
        <w:t>6.) Kérem, hogy akinek a preferált email címe esetleg megváltozott, vagy új (PhD) hallgatója van, akit a levelezési listára felvehetek, írja meg.</w:t>
      </w:r>
    </w:p>
    <w:p w:rsidR="00B465C6" w:rsidRPr="00D25A95" w:rsidRDefault="00B465C6" w:rsidP="00D25A95">
      <w:pPr>
        <w:pStyle w:val="para"/>
        <w:jc w:val="both"/>
        <w:rPr>
          <w:b/>
          <w:sz w:val="22"/>
          <w:szCs w:val="22"/>
        </w:rPr>
      </w:pPr>
      <w:r w:rsidRPr="00393DA2">
        <w:rPr>
          <w:i/>
        </w:rPr>
        <w:t>A</w:t>
      </w:r>
      <w:r w:rsidR="00AB3544" w:rsidRPr="00393DA2">
        <w:rPr>
          <w:i/>
        </w:rPr>
        <w:t xml:space="preserve"> havi rendszerességű </w:t>
      </w:r>
      <w:r w:rsidRPr="00393DA2">
        <w:rPr>
          <w:i/>
        </w:rPr>
        <w:t xml:space="preserve">hírlevélben megjelentetni kívánt anyagot kérjük minden hónap utolsó napjáig elküldeni a </w:t>
      </w:r>
      <w:hyperlink r:id="rId12" w:history="1">
        <w:r w:rsidRPr="00393DA2">
          <w:rPr>
            <w:rStyle w:val="Hiperhivatkozs"/>
            <w:i/>
          </w:rPr>
          <w:t>csavas.magdolna@science.unideb.hu</w:t>
        </w:r>
      </w:hyperlink>
      <w:r w:rsidRPr="00393DA2">
        <w:rPr>
          <w:i/>
        </w:rPr>
        <w:t xml:space="preserve"> email címre.</w:t>
      </w:r>
    </w:p>
    <w:p w:rsidR="00B465C6" w:rsidRPr="004A4C3C" w:rsidRDefault="00B465C6" w:rsidP="00B465C6">
      <w:pPr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>Üdvözlettel:</w:t>
      </w:r>
    </w:p>
    <w:p w:rsidR="00B465C6" w:rsidRPr="004A4C3C" w:rsidRDefault="00B465C6" w:rsidP="00BD4510">
      <w:pPr>
        <w:ind w:left="708" w:firstLine="708"/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  <w:t>Csávás Magdolna</w:t>
      </w:r>
    </w:p>
    <w:p w:rsidR="00B465C6" w:rsidRPr="004A4C3C" w:rsidRDefault="0056298B" w:rsidP="0056298B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465C6" w:rsidRPr="004A4C3C">
        <w:rPr>
          <w:rFonts w:ascii="Times New Roman" w:hAnsi="Times New Roman" w:cs="Times New Roman"/>
        </w:rPr>
        <w:t>a munkabizottság titkára</w:t>
      </w:r>
    </w:p>
    <w:p w:rsidR="005D5699" w:rsidRDefault="005D5699" w:rsidP="00B465C6">
      <w:pPr>
        <w:jc w:val="both"/>
        <w:rPr>
          <w:rFonts w:ascii="Times New Roman" w:hAnsi="Times New Roman" w:cs="Times New Roman"/>
        </w:rPr>
      </w:pPr>
    </w:p>
    <w:p w:rsidR="00B465C6" w:rsidRPr="004A4C3C" w:rsidRDefault="00794A8E" w:rsidP="00B465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2017. </w:t>
      </w:r>
      <w:r w:rsidR="0056298B">
        <w:rPr>
          <w:rFonts w:ascii="Times New Roman" w:hAnsi="Times New Roman" w:cs="Times New Roman"/>
        </w:rPr>
        <w:t>szeptember 07.</w:t>
      </w:r>
    </w:p>
    <w:sectPr w:rsidR="00B465C6" w:rsidRPr="004A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98" w:rsidRDefault="002B6898" w:rsidP="005638E9">
      <w:pPr>
        <w:spacing w:after="0" w:line="240" w:lineRule="auto"/>
      </w:pPr>
      <w:r>
        <w:separator/>
      </w:r>
    </w:p>
  </w:endnote>
  <w:endnote w:type="continuationSeparator" w:id="0">
    <w:p w:rsidR="002B6898" w:rsidRDefault="002B6898" w:rsidP="005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98" w:rsidRDefault="002B6898" w:rsidP="005638E9">
      <w:pPr>
        <w:spacing w:after="0" w:line="240" w:lineRule="auto"/>
      </w:pPr>
      <w:r>
        <w:separator/>
      </w:r>
    </w:p>
  </w:footnote>
  <w:footnote w:type="continuationSeparator" w:id="0">
    <w:p w:rsidR="002B6898" w:rsidRDefault="002B6898" w:rsidP="005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62B6"/>
    <w:multiLevelType w:val="hybridMultilevel"/>
    <w:tmpl w:val="4052E7BE"/>
    <w:lvl w:ilvl="0" w:tplc="BD3054B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6F4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B50EC5"/>
    <w:multiLevelType w:val="hybridMultilevel"/>
    <w:tmpl w:val="91D40E5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5516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8E5938"/>
    <w:multiLevelType w:val="hybridMultilevel"/>
    <w:tmpl w:val="C0FAD8D4"/>
    <w:lvl w:ilvl="0" w:tplc="B42C7CFE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AB548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6"/>
    <w:rsid w:val="00000B14"/>
    <w:rsid w:val="00015B8C"/>
    <w:rsid w:val="00026DA9"/>
    <w:rsid w:val="000C71B8"/>
    <w:rsid w:val="00103FD2"/>
    <w:rsid w:val="00174765"/>
    <w:rsid w:val="00182AD8"/>
    <w:rsid w:val="001D2016"/>
    <w:rsid w:val="001E2884"/>
    <w:rsid w:val="001F043E"/>
    <w:rsid w:val="00202864"/>
    <w:rsid w:val="00206D88"/>
    <w:rsid w:val="00273E11"/>
    <w:rsid w:val="00291E75"/>
    <w:rsid w:val="002B6898"/>
    <w:rsid w:val="002D06C7"/>
    <w:rsid w:val="0030398A"/>
    <w:rsid w:val="00325FCC"/>
    <w:rsid w:val="00327EE5"/>
    <w:rsid w:val="00393DA2"/>
    <w:rsid w:val="003B5822"/>
    <w:rsid w:val="003F7063"/>
    <w:rsid w:val="004266B9"/>
    <w:rsid w:val="004A4C3C"/>
    <w:rsid w:val="004E580A"/>
    <w:rsid w:val="0056298B"/>
    <w:rsid w:val="005638E9"/>
    <w:rsid w:val="00595490"/>
    <w:rsid w:val="005A400C"/>
    <w:rsid w:val="005C78D0"/>
    <w:rsid w:val="005D5699"/>
    <w:rsid w:val="006016A7"/>
    <w:rsid w:val="00611E64"/>
    <w:rsid w:val="00620DA5"/>
    <w:rsid w:val="00653C4E"/>
    <w:rsid w:val="00657703"/>
    <w:rsid w:val="00673F80"/>
    <w:rsid w:val="006955B7"/>
    <w:rsid w:val="006A577C"/>
    <w:rsid w:val="0074480C"/>
    <w:rsid w:val="00754836"/>
    <w:rsid w:val="00754F5B"/>
    <w:rsid w:val="00787C46"/>
    <w:rsid w:val="00794A8E"/>
    <w:rsid w:val="007D7AC5"/>
    <w:rsid w:val="008145D8"/>
    <w:rsid w:val="00816D8B"/>
    <w:rsid w:val="00820C86"/>
    <w:rsid w:val="00843684"/>
    <w:rsid w:val="00871CBF"/>
    <w:rsid w:val="008871F4"/>
    <w:rsid w:val="008A7911"/>
    <w:rsid w:val="00924C8E"/>
    <w:rsid w:val="00991C11"/>
    <w:rsid w:val="009C6B65"/>
    <w:rsid w:val="009C7BA9"/>
    <w:rsid w:val="009F57D9"/>
    <w:rsid w:val="00A37EDA"/>
    <w:rsid w:val="00A830FC"/>
    <w:rsid w:val="00AA2CE2"/>
    <w:rsid w:val="00AA5580"/>
    <w:rsid w:val="00AB3544"/>
    <w:rsid w:val="00AC3E4D"/>
    <w:rsid w:val="00AD21C6"/>
    <w:rsid w:val="00AE6A3F"/>
    <w:rsid w:val="00AF2554"/>
    <w:rsid w:val="00AF407B"/>
    <w:rsid w:val="00B079C3"/>
    <w:rsid w:val="00B465C6"/>
    <w:rsid w:val="00B525F9"/>
    <w:rsid w:val="00B74200"/>
    <w:rsid w:val="00BC23DD"/>
    <w:rsid w:val="00BD4510"/>
    <w:rsid w:val="00C26DCF"/>
    <w:rsid w:val="00C3106E"/>
    <w:rsid w:val="00C63BB6"/>
    <w:rsid w:val="00C71192"/>
    <w:rsid w:val="00C75838"/>
    <w:rsid w:val="00CC5111"/>
    <w:rsid w:val="00D01150"/>
    <w:rsid w:val="00D15935"/>
    <w:rsid w:val="00D22D49"/>
    <w:rsid w:val="00D25A95"/>
    <w:rsid w:val="00D36830"/>
    <w:rsid w:val="00D55E87"/>
    <w:rsid w:val="00D61C80"/>
    <w:rsid w:val="00D77A11"/>
    <w:rsid w:val="00DA039E"/>
    <w:rsid w:val="00DA6672"/>
    <w:rsid w:val="00DB5B0E"/>
    <w:rsid w:val="00DC71B0"/>
    <w:rsid w:val="00DD7A9E"/>
    <w:rsid w:val="00DE4937"/>
    <w:rsid w:val="00DF7160"/>
    <w:rsid w:val="00E11815"/>
    <w:rsid w:val="00E32658"/>
    <w:rsid w:val="00EC2BF0"/>
    <w:rsid w:val="00EE13FE"/>
    <w:rsid w:val="00EE715E"/>
    <w:rsid w:val="00EF569A"/>
    <w:rsid w:val="00F24299"/>
    <w:rsid w:val="00F2695E"/>
    <w:rsid w:val="00F305F4"/>
    <w:rsid w:val="00F50BC9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8F7B"/>
  <w15:chartTrackingRefBased/>
  <w15:docId w15:val="{25FBDF0A-F3FF-4BE6-9D6A-74793BE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1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5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65C6"/>
    <w:rPr>
      <w:color w:val="0563C1" w:themeColor="hyperlink"/>
      <w:u w:val="single"/>
    </w:rPr>
  </w:style>
  <w:style w:type="paragraph" w:customStyle="1" w:styleId="ElsGraphAuthor">
    <w:name w:val="Els_GraphAuthor"/>
    <w:basedOn w:val="Norml"/>
    <w:uiPriority w:val="99"/>
    <w:rsid w:val="00C3106E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242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24299"/>
    <w:rPr>
      <w:rFonts w:ascii="Consolas" w:hAnsi="Consolas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53C4E"/>
    <w:rPr>
      <w:color w:val="954F72" w:themeColor="followedHyperlink"/>
      <w:u w:val="single"/>
    </w:rPr>
  </w:style>
  <w:style w:type="paragraph" w:customStyle="1" w:styleId="Authors">
    <w:name w:val="Authors"/>
    <w:basedOn w:val="Norml"/>
    <w:qFormat/>
    <w:rsid w:val="00DA039E"/>
    <w:pPr>
      <w:spacing w:before="120" w:after="120" w:line="320" w:lineRule="exact"/>
    </w:pPr>
    <w:rPr>
      <w:rFonts w:ascii="Arial" w:eastAsia="MS Mincho" w:hAnsi="Arial" w:cs="Times New Roman"/>
      <w:szCs w:val="24"/>
      <w:lang w:val="en-GB" w:eastAsia="ja-JP"/>
    </w:rPr>
  </w:style>
  <w:style w:type="paragraph" w:customStyle="1" w:styleId="Adress">
    <w:name w:val="Adress"/>
    <w:basedOn w:val="Norml"/>
    <w:qFormat/>
    <w:rsid w:val="00DA039E"/>
    <w:pPr>
      <w:spacing w:after="0"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/>
    </w:rPr>
  </w:style>
  <w:style w:type="paragraph" w:customStyle="1" w:styleId="Footnote">
    <w:name w:val="Footnote"/>
    <w:basedOn w:val="Adress"/>
    <w:rsid w:val="00DA039E"/>
    <w:pPr>
      <w:spacing w:before="120"/>
    </w:pPr>
    <w:rPr>
      <w:szCs w:val="1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015B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015B8C"/>
    <w:rPr>
      <w:i/>
      <w:iCs/>
    </w:rPr>
  </w:style>
  <w:style w:type="character" w:styleId="Kiemels2">
    <w:name w:val="Strong"/>
    <w:basedOn w:val="Bekezdsalapbettpusa"/>
    <w:uiPriority w:val="22"/>
    <w:qFormat/>
    <w:rsid w:val="00015B8C"/>
    <w:rPr>
      <w:b/>
      <w:bCs/>
    </w:rPr>
  </w:style>
  <w:style w:type="character" w:customStyle="1" w:styleId="emphasistypesmallcaps">
    <w:name w:val="emphasistypesmallcaps"/>
    <w:basedOn w:val="Bekezdsalapbettpusa"/>
    <w:rsid w:val="00015B8C"/>
  </w:style>
  <w:style w:type="character" w:customStyle="1" w:styleId="authorsname">
    <w:name w:val="authors__name"/>
    <w:basedOn w:val="Bekezdsalapbettpusa"/>
    <w:rsid w:val="00015B8C"/>
  </w:style>
  <w:style w:type="paragraph" w:customStyle="1" w:styleId="para">
    <w:name w:val="para"/>
    <w:basedOn w:val="Norml"/>
    <w:rsid w:val="0001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8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07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0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211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54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4978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2087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97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05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9246094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50161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3800153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424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7340909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9338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2029859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7170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7010119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a-szenhidrat-nukleinsav-es-antibiotikumkemiai-mu.mozello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avas.magdolna@science.unide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boc.uni-bayreuth.de/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pl.vscht.cz/contact/staff/JitkaMoravco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5C97-C897-4D7F-A176-5F3C4702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Csávás Magdolna</dc:creator>
  <cp:keywords/>
  <dc:description/>
  <cp:lastModifiedBy>dr. Csávás Magdolna</cp:lastModifiedBy>
  <cp:revision>4</cp:revision>
  <cp:lastPrinted>2016-11-08T09:26:00Z</cp:lastPrinted>
  <dcterms:created xsi:type="dcterms:W3CDTF">2017-09-07T11:05:00Z</dcterms:created>
  <dcterms:modified xsi:type="dcterms:W3CDTF">2017-09-07T11:31:00Z</dcterms:modified>
</cp:coreProperties>
</file>